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1E33F" w14:textId="68F6785B" w:rsidR="00505F78" w:rsidRPr="00306E61" w:rsidRDefault="00505F78" w:rsidP="00505F78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>Przyłącze wodociągowe i/lub kanalizacyjne powinno być wykonane zgodnie z odpowiednimi przepisami prawa budowlanego, obowiązującymi Polskimi Normami oraz zasadami wiedzy technicznej</w:t>
      </w:r>
      <w:r>
        <w:rPr>
          <w:rFonts w:asciiTheme="minorHAnsi" w:hAnsiTheme="minorHAnsi" w:cstheme="minorHAnsi"/>
          <w:color w:val="3D3D3D"/>
        </w:rPr>
        <w:t>.</w:t>
      </w:r>
    </w:p>
    <w:p w14:paraId="74B6F6D4" w14:textId="4ED6193D" w:rsidR="00AB5CD8" w:rsidRPr="00505F78" w:rsidRDefault="00505F78" w:rsidP="00505F78">
      <w:pPr>
        <w:pStyle w:val="Normalny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>ZWIK zaleca przed oddaniem do użytkowania nowo wybudowanego przyłącza wodociągowego uzyskać pozytywne wyniki badań bakteriologicznych wody pobranej z tego przyłącza, wykonanych przez laboratorium posiadające zatwierdzony system jakości prowadzonych badań wody.</w:t>
      </w:r>
    </w:p>
    <w:sectPr w:rsidR="00AB5CD8" w:rsidRPr="00505F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FF2"/>
    <w:rsid w:val="0017283A"/>
    <w:rsid w:val="00275FF2"/>
    <w:rsid w:val="00505F78"/>
    <w:rsid w:val="00AB5CD8"/>
    <w:rsid w:val="00DE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7DBE4"/>
  <w15:chartTrackingRefBased/>
  <w15:docId w15:val="{FD63BDBC-6969-4E1D-A2A1-36790372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7D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E7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E7D08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DE7D08"/>
    <w:rPr>
      <w:b/>
      <w:bCs/>
    </w:rPr>
  </w:style>
  <w:style w:type="character" w:styleId="Uwydatnienie">
    <w:name w:val="Emphasis"/>
    <w:basedOn w:val="Domylnaczcionkaakapitu"/>
    <w:uiPriority w:val="20"/>
    <w:qFormat/>
    <w:rsid w:val="00DE7D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380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Trzcińska</dc:creator>
  <cp:keywords/>
  <dc:description/>
  <cp:lastModifiedBy>Beata Trzcińska</cp:lastModifiedBy>
  <cp:revision>4</cp:revision>
  <dcterms:created xsi:type="dcterms:W3CDTF">2022-11-23T13:30:00Z</dcterms:created>
  <dcterms:modified xsi:type="dcterms:W3CDTF">2022-11-24T08:03:00Z</dcterms:modified>
</cp:coreProperties>
</file>